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broken.</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McDowell</w:t>
      </w:r>
      <w:r>
        <w:t xml:space="preserve"> </w:t>
      </w:r>
      <w:r>
        <w:rPr>
          <w:i/>
        </w:rPr>
        <w:t xml:space="preserve">et al.</w:t>
      </w:r>
      <w:r>
        <w:t xml:space="preserve">, 2020; Breshears</w:t>
      </w:r>
      <w:r>
        <w:t xml:space="preserve"> </w:t>
      </w:r>
      <w:r>
        <w:rPr>
          <w:i/>
        </w:rPr>
        <w:t xml:space="preserve">et al.</w:t>
      </w:r>
      <w:r>
        <w:t xml:space="preserve">;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w:t>
      </w:r>
      <w:r>
        <w:rPr>
          <w:b/>
        </w:rPr>
        <w:t xml:space="preserve">???</w:t>
      </w:r>
      <w:r>
        <w:t xml:space="preserve">; Krause</w:t>
      </w:r>
      <w:r>
        <w:t xml:space="preserve"> </w:t>
      </w:r>
      <w:r>
        <w:rPr>
          <w:i/>
        </w:rPr>
        <w:t xml:space="preserve">et al.</w:t>
      </w:r>
      <w:r>
        <w:t xml:space="preserve">, 2018)</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how these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9"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(Smith</w:t>
      </w:r>
      <w:r>
        <w:t xml:space="preserve"> </w:t>
      </w:r>
      <w:r>
        <w:rPr>
          <w:i/>
        </w:rPr>
        <w:t xml:space="preserve">et al.</w:t>
      </w:r>
      <w:r>
        <w:t xml:space="preserve">, 2019 ; Parker</w:t>
      </w:r>
      <w:r>
        <w:t xml:space="preserve"> </w:t>
      </w:r>
      <w:r>
        <w:rPr>
          <w:i/>
        </w:rPr>
        <w:t xml:space="preserve">et al.</w:t>
      </w:r>
      <w:r>
        <w:t xml:space="preserve">, 2019; Parker &amp; Tibbs)</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rPr>
          <w:b/>
        </w:rPr>
        <w:t xml:space="preserve">???</w:t>
      </w:r>
      <w:r>
        <w:t xml:space="preserve">)</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Frenne</w:t>
      </w:r>
      <w:r>
        <w:t xml:space="preserve"> </w:t>
      </w:r>
      <w:r>
        <w:rPr>
          <w:i/>
        </w:rPr>
        <w:t xml:space="preserve">et al.</w:t>
      </w:r>
      <w:r>
        <w:t xml:space="preserve">, 2021; Rambo &amp; North, 2009; von Arx</w:t>
      </w:r>
      <w:r>
        <w:t xml:space="preserve"> </w:t>
      </w:r>
      <w:r>
        <w:rPr>
          <w:i/>
        </w:rPr>
        <w:t xml:space="preserve">et al.</w:t>
      </w:r>
      <w:r>
        <w:t xml:space="preserve">, 2012;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w:t>
      </w:r>
      <w:r>
        <w:rPr>
          <w:b/>
        </w:rPr>
        <w:t xml:space="preserve"> </w:t>
      </w:r>
      <w:r>
        <w:rPr>
          <w:b/>
        </w:rPr>
        <w:t xml:space="preserve">(Figs. 2, S1, Frenne</w:t>
      </w:r>
      <w:r>
        <w:rPr>
          <w:b/>
        </w:rPr>
        <w:t xml:space="preserve"> </w:t>
      </w:r>
      <w:r>
        <w:rPr>
          <w:i/>
          <w:b/>
        </w:rPr>
        <w:t xml:space="preserve">et al.</w:t>
      </w:r>
      <w:r>
        <w:rPr>
          <w:b/>
        </w:rPr>
        <w:t xml:space="preserve">,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such as in NEON sites with windspeeds ~4 m s</w:t>
      </w:r>
      <w:r>
        <w:rPr>
          <w:vertAlign w:val="superscript"/>
        </w:rPr>
        <w:t xml:space="preserve">-1</w:t>
      </w:r>
      <w:r>
        <w:t xml:space="preserve"> </w:t>
      </w:r>
      <w:r>
        <w:t xml:space="preserve">(Fig.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 4</w:t>
      </w:r>
      <m:oMath>
        <m:sSup>
          <m:e>
            <m:r>
              <m:t>​</m:t>
            </m:r>
          </m:e>
          <m:sup>
            <m:r>
              <m:t>∘</m:t>
            </m:r>
          </m:sup>
        </m:sSup>
      </m:oMath>
      <w:r>
        <w:t xml:space="preserve">C (Fig. 3b)</w:t>
      </w:r>
      <w:r>
        <w:t xml:space="preserve">(Niinemets &amp; Valladares, 2004; Bonan, 2016)</w:t>
      </w:r>
      <w:r>
        <w:t xml:space="preserve">. Collectively, windspeed,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upper canopy lower sensitivity to intercepted radiation (Fig. 3a) and higher rates of heat loss (Fig. 3b-e).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can also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can limit</w:t>
      </w:r>
      <w:r>
        <w:t xml:space="preserve"> </w:t>
      </w:r>
      <m:oMath>
        <m:sSub>
          <m:e>
            <m:r>
              <m:t>g</m:t>
            </m:r>
          </m:e>
          <m:sub>
            <m:r>
              <m:t>s</m:t>
            </m:r>
          </m:sub>
        </m:sSub>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below canopies layers</w:t>
      </w:r>
      <w:r>
        <w:t xml:space="preserve"> </w:t>
      </w:r>
      <w:r>
        <w:t xml:space="preserve">(Miller</w:t>
      </w:r>
      <w:r>
        <w:t xml:space="preserve"> </w:t>
      </w:r>
      <w:r>
        <w:rPr>
          <w:i/>
        </w:rPr>
        <w:t xml:space="preserve">et al.</w:t>
      </w:r>
      <w:r>
        <w:t xml:space="preserve">, 2021)</w:t>
      </w:r>
      <w:r>
        <w:t xml:space="preserve">. In contrast, open canopies, or lower canopy LAI allow more vertical air mixing and sunlight into the understory, that can either neutralize a</w:t>
      </w:r>
      <w:r>
        <w:t xml:space="preserve"> </w:t>
      </w:r>
      <m:oMath>
        <m:sSub>
          <m:e>
            <m:r>
              <m:t>T</m:t>
            </m:r>
          </m:e>
          <m:sub>
            <m:r>
              <m:t>l</m:t>
            </m:r>
            <m:r>
              <m:t>e</m:t>
            </m:r>
            <m:r>
              <m:t>a</m:t>
            </m:r>
            <m:r>
              <m:t>f</m:t>
            </m:r>
          </m:sub>
        </m:sSub>
      </m:oMath>
      <w:r>
        <w:t xml:space="preserve"> </w:t>
      </w:r>
      <w:r>
        <w:t xml:space="preserve">gradient or elevate below canopy</w:t>
      </w:r>
      <w:r>
        <w:t xml:space="preserve"> </w:t>
      </w:r>
      <m:oMath>
        <m:sSub>
          <m:e>
            <m:r>
              <m:t>T</m:t>
            </m:r>
          </m:e>
          <m:sub>
            <m:r>
              <m:t>l</m:t>
            </m:r>
            <m:r>
              <m:t>e</m:t>
            </m:r>
            <m:r>
              <m:t>a</m:t>
            </m:r>
            <m:r>
              <m:t>f</m:t>
            </m:r>
          </m:sub>
        </m:sSub>
        <m:r>
          <m:t>−</m:t>
        </m:r>
        <m:sSub>
          <m:e>
            <m:r>
              <m:t>T</m:t>
            </m:r>
          </m:e>
          <m:sub>
            <m:r>
              <m:t>a</m:t>
            </m:r>
            <m:r>
              <m:t>i</m:t>
            </m:r>
            <m:r>
              <m:t>r</m:t>
            </m:r>
          </m:sub>
        </m:sSub>
      </m:oMath>
      <w:r>
        <w:t xml:space="preserve"> </w:t>
      </w:r>
      <w:r>
        <w:t xml:space="preserve">of shade leaves more than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w:t>
      </w:r>
      <w:r>
        <w:t xml:space="preserve"> </w:t>
      </w:r>
      <w:r>
        <w:rPr>
          <w:b/>
        </w:rPr>
        <w:t xml:space="preserve">???</w:t>
      </w:r>
      <w:r>
        <w:t xml:space="preserve">; Tibbitts, 1979; Perez &amp; Feeley, 2018)</w:t>
      </w:r>
      <w:r>
        <w:t xml:space="preserve">.</w:t>
      </w:r>
      <w:r>
        <w:t xml:space="preserve"> </w:t>
      </w:r>
      <w:r>
        <w:t xml:space="preserve">Thus, understory leaves and within canopy shade leaves can remain cooler under lower radiation load, but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being smaller, hairier, and with higher vein density than shade leaves</w:t>
      </w:r>
      <w:r>
        <w:t xml:space="preserve"> </w:t>
      </w:r>
      <w:r>
        <w:t xml:space="preserve">(Zwieniecki</w:t>
      </w:r>
      <w:r>
        <w:t xml:space="preserve"> </w:t>
      </w:r>
      <w:r>
        <w:rPr>
          <w:i/>
        </w:rPr>
        <w:t xml:space="preserve">et al.</w:t>
      </w:r>
      <w:r>
        <w:t xml:space="preserve">, 2004; Sack</w:t>
      </w:r>
      <w:r>
        <w:t xml:space="preserve"> </w:t>
      </w:r>
      <w:r>
        <w:rPr>
          <w:i/>
        </w:rPr>
        <w:t xml:space="preserve">et al.</w:t>
      </w:r>
      <w:r>
        <w:t xml:space="preserve">, 2006; Leigh</w:t>
      </w:r>
      <w:r>
        <w:t xml:space="preserve"> </w:t>
      </w:r>
      <w:r>
        <w:rPr>
          <w:i/>
        </w:rPr>
        <w:t xml:space="preserve">et al.</w:t>
      </w:r>
      <w:r>
        <w:t xml:space="preserve">, 2017;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w:t>
      </w:r>
      <w:r>
        <w:rPr>
          <w:i/>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that is more common in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(Vitasse</w:t>
      </w:r>
      <w:r>
        <w:t xml:space="preserve"> </w:t>
      </w:r>
      <w:r>
        <w:rPr>
          <w:i/>
        </w:rPr>
        <w:t xml:space="preserve">et al.</w:t>
      </w:r>
      <w:r>
        <w:t xml:space="preserve">, 2014; Seiwa, 1999)</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more prevalent in sun leaves than shade leaves in closed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more open forests, midday stomatal closure can occur in both upper canopy and lower canopy leaves, with stomata of lower canopy leaves remaining closed for a longer time duration than upper canopy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Additionally, while</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 temperature 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 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 (Fig. 14.5) in</w:t>
      </w:r>
      <w:r>
        <w:t xml:space="preserve"> </w:t>
      </w:r>
      <w:r>
        <w:t xml:space="preserve">(Campbell and Norman 1998;</w:t>
      </w:r>
      <w:r>
        <w:t xml:space="preserve"> </w:t>
      </w:r>
      <w:r>
        <w:rPr>
          <w:i/>
        </w:rPr>
        <w:t xml:space="preserve">revisit this!</w:t>
      </w:r>
      <w:r>
        <w:t xml:space="preserve">; Niinemets</w:t>
      </w:r>
      <w:r>
        <w:t xml:space="preserve"> </w:t>
      </w:r>
      <w:r>
        <w:rPr>
          <w:i/>
        </w:rPr>
        <w:t xml:space="preserve">et al.</w:t>
      </w:r>
      <w:r>
        <w:t xml:space="preserve">, 1999; 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to influence leaf thermal sensitivity tolerance</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chlorophyll a fluorescence;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
        </w:rPr>
        <w:t xml:space="preserve">et al.</w:t>
      </w:r>
      <w:r>
        <w:t xml:space="preserve">, 2020)</w:t>
      </w:r>
      <w:r>
        <w:t xml:space="preserve">.</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w:t>
      </w:r>
      <w:r>
        <w:t xml:space="preserve"> </w:t>
      </w:r>
      <w:r>
        <w:t xml:space="preserve">(O’sullivan</w:t>
      </w:r>
      <w:r>
        <w:t xml:space="preserve"> </w:t>
      </w:r>
      <w:r>
        <w:rPr>
          <w:i/>
        </w:rPr>
        <w:t xml:space="preserve">et al.</w:t>
      </w:r>
      <w:r>
        <w:t xml:space="preserve">, 2017)</w:t>
      </w:r>
      <w:r>
        <w:t xml:space="preserv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2020)</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Based on this evidence,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(Chen</w:t>
      </w:r>
      <w:r>
        <w:rPr>
          <w:b/>
        </w:rPr>
        <w:t xml:space="preserve"> </w:t>
      </w:r>
      <w:r>
        <w:rPr>
          <w:i/>
          <w:b/>
        </w:rPr>
        <w:t xml:space="preserve">et al.</w:t>
      </w:r>
      <w:r>
        <w:rPr>
          <w:b/>
        </w:rPr>
        <w:t xml:space="preserve">, 2020)</w:t>
      </w:r>
      <w:r>
        <w:rPr>
          <w:b/>
        </w:rPr>
        <w:t xml:space="preserve">,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Temperature sensitivity of respiration (</w:t>
      </w:r>
      <m:oMath>
        <m:sSub>
          <m:e>
            <m:r>
              <m:t>Q</m:t>
            </m:r>
          </m:e>
          <m:sub>
            <m:r>
              <m:t>10</m:t>
            </m:r>
          </m:sub>
        </m:sSub>
      </m:oMath>
      <w:r>
        <w:t xml:space="preserve">) along a within canopy gradient remains uncertain where</w:t>
      </w:r>
      <w:r>
        <w:t xml:space="preserve"> </w:t>
      </w:r>
      <m:oMath>
        <m:sSub>
          <m:e>
            <m:r>
              <m:t>Q</m:t>
            </m:r>
          </m:e>
          <m:sub>
            <m:r>
              <m:t>10</m:t>
            </m:r>
          </m:sub>
        </m:sSub>
      </m:oMath>
      <w:r>
        <w:t xml:space="preserve"> </w:t>
      </w:r>
      <w:r>
        <w:t xml:space="preserve">can be constant within vertical profiles and in seedling sun vs. shade leaves</w:t>
      </w:r>
      <w:r>
        <w:t xml:space="preserve"> </w:t>
      </w:r>
      <w:r>
        <w:t xml:space="preserve">(@ Carter</w:t>
      </w:r>
      <w:r>
        <w:t xml:space="preserve"> </w:t>
      </w:r>
      <w:r>
        <w:rPr>
          <w:i/>
        </w:rPr>
        <w:t xml:space="preserve">et al.</w:t>
      </w:r>
      <w:r>
        <w:t xml:space="preserve">; 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and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Additionally, lower canopy leaf respiration has also been reported to be more sensitive to changes in</w:t>
      </w:r>
      <w:r>
        <w:t xml:space="preserve"> </w:t>
      </w:r>
      <m:oMath>
        <m:sSub>
          <m:e>
            <m:r>
              <m:t>T</m:t>
            </m:r>
          </m:e>
          <m:sub>
            <m:r>
              <m:t>a</m:t>
            </m:r>
            <m:r>
              <m:t>i</m:t>
            </m:r>
            <m:r>
              <m:t>r</m:t>
            </m:r>
          </m:sub>
        </m:sSub>
      </m:oMath>
      <w:r>
        <w:t xml:space="preserve"> </w:t>
      </w:r>
      <w:r>
        <w:t xml:space="preserve">than upper canopy</w:t>
      </w:r>
      <w:r>
        <w:t xml:space="preserve"> </w:t>
      </w:r>
      <w:r>
        <w:t xml:space="preserve">(Griffin</w:t>
      </w:r>
      <w:r>
        <w:t xml:space="preserve"> </w:t>
      </w:r>
      <w:r>
        <w:rPr>
          <w:i/>
        </w:rPr>
        <w:t xml:space="preserve">et al.</w:t>
      </w:r>
      <w:r>
        <w:t xml:space="preserve">, 2002)</w:t>
      </w:r>
      <w:r>
        <w:t xml:space="preserve">. Recent observations suggest that tropical understory leaves down-regulate</w:t>
      </w:r>
      <w:r>
        <w:t xml:space="preserve"> </w:t>
      </w:r>
      <m:oMath>
        <m:sSub>
          <m:e>
            <m:r>
              <m:t>Q</m:t>
            </m:r>
          </m:e>
          <m:sub>
            <m:r>
              <m:t>10</m:t>
            </m:r>
          </m:sub>
        </m:sSub>
      </m:oMath>
      <w:r>
        <w:t xml:space="preserve"> </w:t>
      </w:r>
      <w:r>
        <w:t xml:space="preserve">with rising temperature</w:t>
      </w:r>
      <w:r>
        <w:t xml:space="preserve"> </w:t>
      </w:r>
      <w:r>
        <w:t xml:space="preserve">(Carter</w:t>
      </w:r>
      <w:r>
        <w:t xml:space="preserve"> </w:t>
      </w:r>
      <w:r>
        <w:rPr>
          <w:i/>
        </w:rPr>
        <w:t xml:space="preserve">et al.</w:t>
      </w:r>
      <w:r>
        <w:t xml:space="preserve">)</w:t>
      </w:r>
      <w:r>
        <w:t xml:space="preserve">; this may vary based on leaf age and leaf traits,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p>
    <w:p>
      <w:pPr>
        <w:pStyle w:val="BodyText"/>
      </w:pPr>
      <w:r>
        <w:t xml:space="preserve">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growth-and-survival"/>
    <w:p>
      <w:pPr>
        <w:pStyle w:val="Heading3"/>
      </w:pPr>
      <w:r>
        <w:t xml:space="preserve">Tree metabolism,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the time scale of hours (</w:t>
      </w:r>
      <w:r>
        <w:rPr>
          <w:b/>
        </w:rPr>
        <w:t xml:space="preserve">REFS?</w:t>
      </w:r>
      <w:r>
        <w:t xml:space="preserve">), days</w:t>
      </w:r>
      <w:r>
        <w:t xml:space="preserve"> </w:t>
      </w:r>
      <w:r>
        <w:t xml:space="preserve">(Anderson-Teixeira</w:t>
      </w:r>
      <w:r>
        <w:t xml:space="preserve"> </w:t>
      </w:r>
      <w:r>
        <w:rPr>
          <w:i/>
        </w:rPr>
        <w:t xml:space="preserve">et al.</w:t>
      </w:r>
      <w:r>
        <w:t xml:space="preserve">, 2015)</w:t>
      </w:r>
      <w:r>
        <w:t xml:space="preserve">, seasons</w:t>
      </w:r>
      <w:r>
        <w:t xml:space="preserve"> </w:t>
      </w:r>
      <w:r>
        <w:t xml:space="preserve">(Christoffersen</w:t>
      </w:r>
      <w:r>
        <w:t xml:space="preserve"> </w:t>
      </w:r>
      <w:r>
        <w:rPr>
          <w:i/>
        </w:rPr>
        <w:t xml:space="preserve">et al.</w:t>
      </w:r>
      <w:r>
        <w:t xml:space="preserve">, 2016)</w:t>
      </w:r>
      <w:r>
        <w:t xml:space="preserve">, or years (</w:t>
      </w:r>
      <w:r>
        <w:rPr>
          <w:b/>
        </w:rPr>
        <w:t xml:space="preserve">? REFS?</w:t>
      </w:r>
      <w:r>
        <w:t xml:space="preserve">).</w:t>
      </w:r>
    </w:p>
    <w:p>
      <w:pPr>
        <w:numPr>
          <w:ilvl w:val="0"/>
          <w:numId w:val="1002"/>
        </w:numPr>
        <w:pStyle w:val="Compact"/>
      </w:pPr>
      <w:r>
        <w:t xml:space="preserve">Taller trees in the Amazon had greater stomatal sensitivity to drought, resulting in greater reductions transpiration and photosynthesis</w:t>
      </w:r>
      <w:r>
        <w:t xml:space="preserve"> </w:t>
      </w:r>
      <w:r>
        <w:t xml:space="preserve">(Garcia</w:t>
      </w:r>
      <w:r>
        <w:t xml:space="preserve"> </w:t>
      </w:r>
      <w:r>
        <w:rPr>
          <w:i/>
        </w:rPr>
        <w:t xml:space="preserve">et al.</w:t>
      </w:r>
      <w:r>
        <w:t xml:space="preserve">, 2021)</w:t>
      </w:r>
      <w:r>
        <w:t xml:space="preserve">.</w:t>
      </w:r>
    </w:p>
    <w:p>
      <w:pPr>
        <w:numPr>
          <w:ilvl w:val="0"/>
          <w:numId w:val="1002"/>
        </w:numPr>
        <w:pStyle w:val="Compact"/>
      </w:pPr>
      <w:r>
        <w:t xml:space="preserve">Christoffersen</w:t>
      </w:r>
      <w:r>
        <w:t xml:space="preserve"> </w:t>
      </w:r>
      <w:r>
        <w:rPr>
          <w:i/>
        </w:rPr>
        <w:t xml:space="preserve">et al.</w:t>
      </w:r>
      <w:r>
        <w:t xml:space="preserve"> </w:t>
      </w:r>
      <w:r>
        <w:t xml:space="preserve">(2016)</w:t>
      </w:r>
      <w:r>
        <w:t xml:space="preserve"> </w:t>
      </w:r>
      <w:r>
        <w:t xml:space="preserve">uses trait-based modeling to show that canopy trees have lower dry-season: wet-season transpiration.</w:t>
      </w:r>
    </w:p>
    <w:p>
      <w:pPr>
        <w:numPr>
          <w:ilvl w:val="0"/>
          <w:numId w:val="1002"/>
        </w:numPr>
        <w:pStyle w:val="Compact"/>
      </w:pPr>
      <w:r>
        <w:t xml:space="preserve">Smaller trees also have greater capacity to adjust traits realted carbon metabolism to drought</w:t>
      </w:r>
      <w:r>
        <w:t xml:space="preserve"> </w:t>
      </w:r>
      <w:r>
        <w:t xml:space="preserve">(Bartholomew</w:t>
      </w:r>
      <w:r>
        <w:t xml:space="preserve"> </w:t>
      </w:r>
      <w:r>
        <w:rPr>
          <w:i/>
        </w:rPr>
        <w:t xml:space="preserve">et al.</w:t>
      </w:r>
      <w:r>
        <w:t xml:space="preserve">, 2020)</w:t>
      </w:r>
    </w:p>
    <w:p>
      <w:pPr>
        <w:numPr>
          <w:ilvl w:val="0"/>
          <w:numId w:val="1002"/>
        </w:numPr>
        <w:pStyle w:val="Compact"/>
      </w:pPr>
      <w:r>
        <w:rPr>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
        </w:rPr>
        <w:t xml:space="preserve">Fig. 4</w:t>
      </w:r>
      <w:r>
        <w:t xml:space="preserve">, McGregor</w:t>
      </w:r>
      <w:r>
        <w:t xml:space="preserve"> </w:t>
      </w:r>
      <w:r>
        <w:rPr>
          <w:i/>
        </w:rPr>
        <w:t xml:space="preserve">et al.</w:t>
      </w:r>
      <w:r>
        <w:t xml:space="preserve">, 2021;</w:t>
      </w:r>
      <w:r>
        <w:t xml:space="preserve"> </w:t>
      </w:r>
      <w:r>
        <w:rPr>
          <w:b/>
        </w:rPr>
        <w:t xml:space="preserve">???</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Despite the potential for shorter trees in open forests to experience greater environmental stress [</w:t>
      </w:r>
      <w:r>
        <w:rPr>
          <w:i/>
        </w:rPr>
        <w:t xml:space="preserve">Fig. 1b</w:t>
      </w:r>
      <w:r>
        <w:t xml:space="preserve">;</w:t>
      </w:r>
      <w:r>
        <w:t xml:space="preserve"> </w:t>
      </w:r>
      <w:r>
        <w:rPr>
          <w:b/>
        </w:rPr>
        <w:t xml:space="preserve">REFS</w:t>
      </w:r>
      <w:r>
        <w:t xml:space="preserve">], this pattern has been observed in open as well as closed-canopy forests</w:t>
      </w:r>
      <w:r>
        <w:t xml:space="preserve"> </w:t>
      </w:r>
      <w:r>
        <w:t xml:space="preserve">(</w:t>
      </w:r>
      <w:r>
        <w:rPr>
          <w:b/>
        </w:rPr>
        <w:t xml:space="preserve">???</w:t>
      </w:r>
      <w:r>
        <w:t xml:space="preserve">; Bennett</w:t>
      </w:r>
      <w:r>
        <w:t xml:space="preserve"> </w:t>
      </w:r>
      <w:r>
        <w:rPr>
          <w:i/>
        </w:rPr>
        <w:t xml:space="preserve">et al.</w:t>
      </w:r>
      <w:r>
        <w:t xml:space="preserve">, 2015)</w:t>
      </w:r>
      <w:r>
        <w:t xml:space="preserve">.</w:t>
      </w:r>
    </w:p>
    <w:p>
      <w:pPr>
        <w:pStyle w:val="BodyText"/>
      </w:pPr>
      <w:r>
        <w:t xml:space="preserve">There are, however, notable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w:t>
      </w:r>
      <w:r>
        <w:t xml:space="preserve">.</w:t>
      </w:r>
      <w:r>
        <w:t xml:space="preserve"> </w:t>
      </w:r>
      <w:r>
        <w:t xml:space="preserve">Similarly, in tropical forests higher night-time temperatures have been associated with decelerating tree growth rates predominantly in smaller trees</w:t>
      </w:r>
      <w:r>
        <w:t xml:space="preserve"> </w:t>
      </w:r>
      <w:r>
        <w:rPr>
          <w:i/>
        </w:rPr>
        <w:t xml:space="preserve">but also in taller trees</w:t>
      </w:r>
      <w:r>
        <w:t xml:space="preserve"> </w:t>
      </w:r>
      <w:r>
        <w:t xml:space="preserve">[</w:t>
      </w:r>
      <w:r>
        <w:t xml:space="preserve">Clark</w:t>
      </w:r>
      <w:r>
        <w:t xml:space="preserve"> </w:t>
      </w:r>
      <w:r>
        <w:rPr>
          <w:i/>
        </w:rPr>
        <w:t xml:space="preserve">et al.</w:t>
      </w:r>
      <w:r>
        <w:t xml:space="preserve"> </w:t>
      </w:r>
      <w:r>
        <w:t xml:space="preserve">(2003)</w:t>
      </w:r>
      <w:r>
        <w:t xml:space="preserve">;</w:t>
      </w:r>
      <w:r>
        <w:t xml:space="preserve"> </w:t>
      </w:r>
      <w:r>
        <w:t xml:space="preserve">Clark</w:t>
      </w:r>
      <w:r>
        <w:t xml:space="preserve"> </w:t>
      </w:r>
      <w:r>
        <w:rPr>
          <w:i/>
        </w:rPr>
        <w:t xml:space="preserve">et al.</w:t>
      </w:r>
      <w:r>
        <w:t xml:space="preserve"> </w:t>
      </w:r>
      <w:r>
        <w:t xml:space="preserve">(2010)</w:t>
      </w:r>
      <w:r>
        <w:t xml:space="preserve">;</w:t>
      </w:r>
      <w:r>
        <w:t xml:space="preserve"> </w:t>
      </w:r>
      <w:r>
        <w:t xml:space="preserve">Feeley</w:t>
      </w:r>
      <w:r>
        <w:t xml:space="preserve"> </w:t>
      </w:r>
      <w:r>
        <w:rPr>
          <w:i/>
        </w:rPr>
        <w:t xml:space="preserve">et al.</w:t>
      </w:r>
      <w:r>
        <w:t xml:space="preserve"> </w:t>
      </w:r>
      <w:r>
        <w:t xml:space="preserve">(2007)</w:t>
      </w:r>
      <w:r>
        <w:t xml:space="preserve">;</w:t>
      </w:r>
      <w:r>
        <w:t xml:space="preserve"> </w:t>
      </w:r>
      <w:r>
        <w:t xml:space="preserve">Vlam</w:t>
      </w:r>
      <w:r>
        <w:t xml:space="preserve"> </w:t>
      </w:r>
      <w:r>
        <w:rPr>
          <w:i/>
        </w:rPr>
        <w:t xml:space="preserve">et al.</w:t>
      </w:r>
      <w:r>
        <w:t xml:space="preserve"> </w:t>
      </w:r>
      <w:r>
        <w:t xml:space="preserve">(2014)</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
        </w:rPr>
        <w:t xml:space="preserve">Tree mortality risk from climate-related stress is also size-structured.</w:t>
      </w:r>
    </w:p>
    <w:p>
      <w:pPr>
        <w:numPr>
          <w:ilvl w:val="0"/>
          <w:numId w:val="1003"/>
        </w:numPr>
        <w:pStyle w:val="Compact"/>
      </w:pPr>
      <w:r>
        <w:t xml:space="preserve">most common trend is higher risk of drought mortality for larger trees</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 including in open forests (</w:t>
      </w:r>
      <w:r>
        <w:rPr>
          <w:b/>
        </w:rPr>
        <w:t xml:space="preserve">REFS</w:t>
      </w:r>
      <w:r>
        <w:t xml:space="preserve">).</w:t>
      </w:r>
      <w:r>
        <w:t xml:space="preserve"> </w:t>
      </w:r>
      <w:r>
        <w:rPr>
          <w:i/>
        </w:rPr>
        <w:t xml:space="preserve">(However, there are exceptions…)</w:t>
      </w:r>
    </w:p>
    <w:p>
      <w:pPr>
        <w:numPr>
          <w:ilvl w:val="0"/>
          <w:numId w:val="1003"/>
        </w:numPr>
        <w:pStyle w:val="Compact"/>
      </w:pPr>
      <w:r>
        <w:t xml:space="preserve">also, greater risks of lightning, blow-down, etc. (</w:t>
      </w:r>
      <w:r>
        <w:t xml:space="preserve">Gora &amp; Esquivel-Muelbert (2021)</w:t>
      </w:r>
      <w:r>
        <w:t xml:space="preserve">)</w:t>
      </w:r>
      <w:r>
        <w:t xml:space="preserve"> </w:t>
      </w:r>
      <w:r>
        <w:rPr>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
        </w:rPr>
        <w:t xml:space="preserve">).</w:t>
      </w:r>
    </w:p>
    <w:p>
      <w:pPr>
        <w:numPr>
          <w:ilvl w:val="0"/>
          <w:numId w:val="1004"/>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
        </w:rPr>
        <w:t xml:space="preserve">(condense this by quite a lot. I don’t think all the info here is necessary)</w:t>
      </w:r>
    </w:p>
    <w:p>
      <w:pPr>
        <w:numPr>
          <w:ilvl w:val="0"/>
          <w:numId w:val="1004"/>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w:t>
      </w:r>
      <w:r>
        <w:t xml:space="preserve">”</w:t>
      </w:r>
      <w:r>
        <w:t xml:space="preserve"> </w:t>
      </w:r>
      <w:r>
        <w:t xml:space="preserve">-</w:t>
      </w:r>
      <w:r>
        <w:t xml:space="preserve"> </w:t>
      </w:r>
      <w:r>
        <w:rPr>
          <w:i/>
        </w:rPr>
        <w:t xml:space="preserve">(revise this to focus on the observed patterns, with at most brief mention of the methods)</w:t>
      </w:r>
    </w:p>
    <w:p>
      <w:pPr>
        <w:numPr>
          <w:ilvl w:val="0"/>
          <w:numId w:val="1004"/>
        </w:numPr>
        <w:pStyle w:val="Compact"/>
      </w:pPr>
      <w:r>
        <w:t xml:space="preserve">GPP : ??</w:t>
      </w:r>
    </w:p>
    <w:p>
      <w:pPr>
        <w:numPr>
          <w:ilvl w:val="0"/>
          <w:numId w:val="1004"/>
        </w:numPr>
        <w:pStyle w:val="Compact"/>
      </w:pPr>
      <m:oMath>
        <m:r>
          <m:t>A</m:t>
        </m:r>
        <m:r>
          <m:t>N</m:t>
        </m:r>
        <m:r>
          <m:t>P</m:t>
        </m:r>
        <m:sSub>
          <m:e>
            <m:r>
              <m:t>P</m:t>
            </m:r>
          </m:e>
          <m:sub>
            <m:r>
              <m:t>w</m:t>
            </m:r>
            <m:r>
              <m:t>o</m:t>
            </m:r>
            <m:r>
              <m:t>o</m:t>
            </m:r>
            <m:r>
              <m:t>d</m:t>
            </m:r>
            <m:r>
              <m:t>y</m:t>
            </m:r>
          </m:sub>
        </m:sSub>
      </m:oMath>
      <w:r>
        <w:t xml:space="preserve">: Piponiot et al., accepted,</w:t>
      </w:r>
      <w:r>
        <w:t xml:space="preserve"> </w:t>
      </w:r>
      <w:r>
        <w:t xml:space="preserve">Meakem</w:t>
      </w:r>
      <w:r>
        <w:t xml:space="preserve"> </w:t>
      </w:r>
      <w:r>
        <w:rPr>
          <w:i/>
        </w:rPr>
        <w:t xml:space="preserve">et al.</w:t>
      </w:r>
      <w:r>
        <w:t xml:space="preserve"> </w:t>
      </w:r>
      <w:r>
        <w:t xml:space="preserve">(2018)</w:t>
      </w:r>
      <w:r>
        <w:t xml:space="preserve">, New Phyt</w:t>
      </w:r>
    </w:p>
    <w:p>
      <w:pPr>
        <w:pStyle w:val="FirstParagraph"/>
      </w:pPr>
      <w:r>
        <w:rPr>
          <w:b/>
        </w:rPr>
        <w:t xml:space="preserve">Less clear is how thermal sensitivity varies across strata.</w:t>
      </w:r>
    </w:p>
    <w:p>
      <w:pPr>
        <w:numPr>
          <w:ilvl w:val="0"/>
          <w:numId w:val="1005"/>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6"/>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6"/>
        </w:numPr>
        <w:pStyle w:val="Compact"/>
      </w:pPr>
      <w:r>
        <w:t xml:space="preserve">a number of studies confirm that this is the case.</w:t>
      </w:r>
    </w:p>
    <w:p>
      <w:pPr>
        <w:numPr>
          <w:ilvl w:val="0"/>
          <w:numId w:val="1006"/>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6"/>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6"/>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38" w:name="references"/>
    <w:p>
      <w:pPr>
        <w:pStyle w:val="Heading2"/>
      </w:pPr>
      <w:r>
        <w:t xml:space="preserve">References</w:t>
      </w:r>
    </w:p>
    <w:bookmarkStart w:id="237"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0"/>
    <w:bookmarkStart w:id="71"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1"/>
    <w:bookmarkStart w:id="72"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2"/>
    <w:bookmarkStart w:id="73"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3"/>
    <w:bookmarkStart w:id="74"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4"/>
    <w:bookmarkStart w:id="75"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5"/>
    <w:bookmarkStart w:id="76"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6"/>
    <w:bookmarkStart w:id="77"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7"/>
    <w:bookmarkStart w:id="78"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8"/>
    <w:bookmarkStart w:id="79"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9"/>
    <w:bookmarkStart w:id="80" w:name="X5bd32b2115f80459f516e117bbf4d0f7d2ac2f5"/>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0"/>
    <w:bookmarkStart w:id="81"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1"/>
    <w:bookmarkStart w:id="82"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2"/>
    <w:bookmarkStart w:id="83"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3"/>
    <w:bookmarkStart w:id="84"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4"/>
    <w:bookmarkStart w:id="85"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5"/>
    <w:bookmarkStart w:id="86"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6"/>
    <w:bookmarkStart w:id="87"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7"/>
    <w:bookmarkStart w:id="88"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8"/>
    <w:bookmarkStart w:id="89" w:name="ref-clarkAnnualWoodProduction2010"/>
    <w:p>
      <w:pPr>
        <w:pStyle w:val="Bibliography"/>
      </w:pP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Oberbauer SF</w:t>
      </w:r>
      <w:r>
        <w:t xml:space="preserve">.</w:t>
      </w:r>
      <w:r>
        <w:t xml:space="preserve"> </w:t>
      </w:r>
      <w:r>
        <w:rPr>
          <w:b/>
        </w:rPr>
        <w:t xml:space="preserve">2010</w:t>
      </w:r>
      <w:r>
        <w:t xml:space="preserve">. Annual wood production in a tropical rain forest in NE Costa Rica linked to climatic variation but not to increasing CO2.</w:t>
      </w:r>
      <w:r>
        <w:t xml:space="preserve"> </w:t>
      </w:r>
      <w:r>
        <w:rPr>
          <w:i/>
        </w:rPr>
        <w:t xml:space="preserve">Global Change Biology</w:t>
      </w:r>
      <w:r>
        <w:t xml:space="preserve"> </w:t>
      </w:r>
      <w:r>
        <w:rPr>
          <w:b/>
        </w:rPr>
        <w:t xml:space="preserve">16</w:t>
      </w:r>
      <w:r>
        <w:t xml:space="preserve">: 747–759.</w:t>
      </w:r>
    </w:p>
    <w:bookmarkEnd w:id="89"/>
    <w:bookmarkStart w:id="90" w:name="ref-clarkTropicalRainForest2003"/>
    <w:p>
      <w:pPr>
        <w:pStyle w:val="Bibliography"/>
      </w:pPr>
      <w:r>
        <w:rPr>
          <w:b w:val="0"/>
          <w:b/>
        </w:rPr>
        <w:t xml:space="preserve">Clark DA</w:t>
      </w:r>
      <w:r>
        <w:rPr>
          <w:b/>
        </w:rPr>
        <w:t xml:space="preserve">,</w:t>
      </w:r>
      <w:r>
        <w:rPr>
          <w:b/>
        </w:rPr>
        <w:t xml:space="preserve"> </w:t>
      </w:r>
      <w:r>
        <w:rPr>
          <w:b w:val="0"/>
          <w:b/>
        </w:rPr>
        <w:t xml:space="preserve">Piper SC</w:t>
      </w:r>
      <w:r>
        <w:rPr>
          <w:b/>
        </w:rPr>
        <w:t xml:space="preserve">,</w:t>
      </w:r>
      <w:r>
        <w:rPr>
          <w:b/>
        </w:rPr>
        <w:t xml:space="preserve"> </w:t>
      </w:r>
      <w:r>
        <w:rPr>
          <w:b w:val="0"/>
          <w:b/>
        </w:rPr>
        <w:t xml:space="preserve">Keeling CD</w:t>
      </w:r>
      <w:r>
        <w:rPr>
          <w:b/>
        </w:rPr>
        <w:t xml:space="preserve">,</w:t>
      </w:r>
      <w:r>
        <w:rPr>
          <w:b/>
        </w:rPr>
        <w:t xml:space="preserve"> </w:t>
      </w:r>
      <w:r>
        <w:rPr>
          <w:b w:val="0"/>
          <w:b/>
        </w:rPr>
        <w:t xml:space="preserve">Clark DB</w:t>
      </w:r>
      <w:r>
        <w:t xml:space="preserve">.</w:t>
      </w:r>
      <w:r>
        <w:t xml:space="preserve"> </w:t>
      </w:r>
      <w:r>
        <w:rPr>
          <w:b/>
        </w:rPr>
        <w:t xml:space="preserve">2003</w:t>
      </w:r>
      <w:r>
        <w:t xml:space="preserve">. Tropical rain forest tree growth and atmospheric carbon dynamics linked to interannual temperature variation during 1984–2000.</w:t>
      </w:r>
      <w:r>
        <w:t xml:space="preserve"> </w:t>
      </w:r>
      <w:r>
        <w:rPr>
          <w:i/>
        </w:rPr>
        <w:t xml:space="preserve">PNAS</w:t>
      </w:r>
      <w:r>
        <w:t xml:space="preserve"> </w:t>
      </w:r>
      <w:r>
        <w:rPr>
          <w:b/>
        </w:rPr>
        <w:t xml:space="preserve">100</w:t>
      </w:r>
      <w:r>
        <w:t xml:space="preserve">: 5852–5857.</w:t>
      </w:r>
    </w:p>
    <w:bookmarkEnd w:id="90"/>
    <w:bookmarkStart w:id="91"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1"/>
    <w:bookmarkStart w:id="92"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2"/>
    <w:bookmarkStart w:id="93"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3"/>
    <w:bookmarkStart w:id="94"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4"/>
    <w:bookmarkStart w:id="9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5"/>
    <w:bookmarkStart w:id="9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6"/>
    <w:bookmarkStart w:id="97"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7"/>
    <w:bookmarkStart w:id="98"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8"/>
    <w:bookmarkStart w:id="99"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9"/>
    <w:bookmarkStart w:id="100"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0"/>
    <w:bookmarkStart w:id="101"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1"/>
    <w:bookmarkStart w:id="102"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2"/>
    <w:bookmarkStart w:id="103"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3"/>
    <w:bookmarkStart w:id="104"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4"/>
    <w:bookmarkStart w:id="105"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5"/>
    <w:bookmarkStart w:id="106" w:name="Xbbcad8a75b8934503d33b0b68611208b86c5c5b"/>
    <w:p>
      <w:pPr>
        <w:pStyle w:val="Bibliography"/>
      </w:pPr>
      <w:r>
        <w:rPr>
          <w:b w:val="0"/>
          <w:b/>
        </w:rPr>
        <w:t xml:space="preserve">Feeley KJ</w:t>
      </w:r>
      <w:r>
        <w:rPr>
          <w:b/>
        </w:rPr>
        <w:t xml:space="preserve">,</w:t>
      </w:r>
      <w:r>
        <w:rPr>
          <w:b/>
        </w:rPr>
        <w:t xml:space="preserve"> </w:t>
      </w:r>
      <w:r>
        <w:rPr>
          <w:b w:val="0"/>
          <w:b/>
        </w:rPr>
        <w:t xml:space="preserve">Wright SJ</w:t>
      </w:r>
      <w:r>
        <w:rPr>
          <w:b/>
        </w:rPr>
        <w:t xml:space="preserve">,</w:t>
      </w:r>
      <w:r>
        <w:rPr>
          <w:b/>
        </w:rPr>
        <w:t xml:space="preserve"> </w:t>
      </w:r>
      <w:r>
        <w:rPr>
          <w:b w:val="0"/>
          <w:b/>
        </w:rPr>
        <w:t xml:space="preserve">Supardi MNN</w:t>
      </w:r>
      <w:r>
        <w:rPr>
          <w:b/>
        </w:rPr>
        <w:t xml:space="preserve">,</w:t>
      </w:r>
      <w:r>
        <w:rPr>
          <w:b/>
        </w:rPr>
        <w:t xml:space="preserve"> </w:t>
      </w:r>
      <w:r>
        <w:rPr>
          <w:b w:val="0"/>
          <w:b/>
        </w:rPr>
        <w:t xml:space="preserve">Kassim AR</w:t>
      </w:r>
      <w:r>
        <w:rPr>
          <w:b/>
        </w:rPr>
        <w:t xml:space="preserve">,</w:t>
      </w:r>
      <w:r>
        <w:rPr>
          <w:b/>
        </w:rPr>
        <w:t xml:space="preserve"> </w:t>
      </w:r>
      <w:r>
        <w:rPr>
          <w:b w:val="0"/>
          <w:b/>
        </w:rPr>
        <w:t xml:space="preserve">Davies SJ</w:t>
      </w:r>
      <w:r>
        <w:t xml:space="preserve">.</w:t>
      </w:r>
      <w:r>
        <w:t xml:space="preserve"> </w:t>
      </w:r>
      <w:r>
        <w:rPr>
          <w:b/>
        </w:rPr>
        <w:t xml:space="preserve">2007</w:t>
      </w:r>
      <w:r>
        <w:t xml:space="preserve">. Decelerating growth in tropical forest trees.</w:t>
      </w:r>
      <w:r>
        <w:t xml:space="preserve"> </w:t>
      </w:r>
      <w:r>
        <w:rPr>
          <w:i/>
        </w:rPr>
        <w:t xml:space="preserve">Ecology Letters</w:t>
      </w:r>
      <w:r>
        <w:t xml:space="preserve"> </w:t>
      </w:r>
      <w:r>
        <w:rPr>
          <w:b/>
        </w:rPr>
        <w:t xml:space="preserve">10</w:t>
      </w:r>
      <w:r>
        <w:t xml:space="preserve">: 461–469.</w:t>
      </w:r>
    </w:p>
    <w:bookmarkEnd w:id="106"/>
    <w:bookmarkStart w:id="107" w:name="ref-frenneForestMicroclimatesClimate2021"/>
    <w:p>
      <w:pPr>
        <w:pStyle w:val="Bibliography"/>
      </w:pPr>
      <w:r>
        <w:rPr>
          <w:b w:val="0"/>
          <w:b/>
        </w:rPr>
        <w:t xml:space="preserve">Frenne PD</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07"/>
    <w:bookmarkStart w:id="108"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8"/>
    <w:bookmarkStart w:id="109" w:name="X4e4c500e2fd26cefefceae0c39325adc72cf0f2"/>
    <w:p>
      <w:pPr>
        <w:pStyle w:val="Bibliography"/>
      </w:pPr>
      <w:r>
        <w:rPr>
          <w:b w:val="0"/>
          <w:b/>
        </w:rPr>
        <w:t xml:space="preserve">Gora EM</w:t>
      </w:r>
      <w:r>
        <w:rPr>
          <w:b/>
        </w:rPr>
        <w:t xml:space="preserve">,</w:t>
      </w:r>
      <w:r>
        <w:rPr>
          <w:b/>
        </w:rPr>
        <w:t xml:space="preserve"> </w:t>
      </w:r>
      <w:r>
        <w:rPr>
          <w:b w:val="0"/>
          <w:b/>
        </w:rPr>
        <w:t xml:space="preserve">Esquivel-Muelbert A</w:t>
      </w:r>
      <w:r>
        <w:t xml:space="preserve">.</w:t>
      </w:r>
      <w:r>
        <w:t xml:space="preserve"> </w:t>
      </w:r>
      <w:r>
        <w:rPr>
          <w:b/>
        </w:rPr>
        <w:t xml:space="preserve">2021</w:t>
      </w:r>
      <w:r>
        <w:t xml:space="preserve">. Implications of size-dependent tree mortality for tropical forest carbon dynamics.</w:t>
      </w:r>
      <w:r>
        <w:t xml:space="preserve"> </w:t>
      </w:r>
      <w:r>
        <w:rPr>
          <w:i/>
        </w:rPr>
        <w:t xml:space="preserve">Nat. Plants</w:t>
      </w:r>
      <w:r>
        <w:t xml:space="preserve"> </w:t>
      </w:r>
      <w:r>
        <w:rPr>
          <w:b/>
        </w:rPr>
        <w:t xml:space="preserve">7</w:t>
      </w:r>
      <w:r>
        <w:t xml:space="preserve">: 384–391.</w:t>
      </w:r>
    </w:p>
    <w:bookmarkEnd w:id="109"/>
    <w:bookmarkStart w:id="11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0"/>
    <w:bookmarkStart w:id="111"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3"/>
    <w:bookmarkStart w:id="11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4"/>
    <w:bookmarkStart w:id="11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5"/>
    <w:bookmarkStart w:id="11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6"/>
    <w:bookmarkStart w:id="11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7"/>
    <w:bookmarkStart w:id="11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8"/>
    <w:bookmarkStart w:id="11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9"/>
    <w:bookmarkStart w:id="12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0"/>
    <w:bookmarkStart w:id="12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1"/>
    <w:bookmarkStart w:id="122"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2"/>
    <w:bookmarkStart w:id="123"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3"/>
    <w:bookmarkStart w:id="124"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4"/>
    <w:bookmarkStart w:id="125"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5"/>
    <w:bookmarkStart w:id="126"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6"/>
    <w:bookmarkStart w:id="127"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7"/>
    <w:bookmarkStart w:id="128"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8"/>
    <w:bookmarkStart w:id="129"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9"/>
    <w:bookmarkStart w:id="130"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0"/>
    <w:bookmarkStart w:id="131"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1"/>
    <w:bookmarkStart w:id="132"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2"/>
    <w:bookmarkStart w:id="133"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3"/>
    <w:bookmarkStart w:id="134"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4"/>
    <w:bookmarkStart w:id="13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5"/>
    <w:bookmarkStart w:id="136"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6"/>
    <w:bookmarkStart w:id="13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7"/>
    <w:bookmarkStart w:id="13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8"/>
    <w:bookmarkStart w:id="13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9"/>
    <w:bookmarkStart w:id="140"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3"/>
    <w:bookmarkStart w:id="144"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4"/>
    <w:bookmarkStart w:id="145"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7"/>
    <w:bookmarkStart w:id="148"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8"/>
    <w:bookmarkStart w:id="149"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9"/>
    <w:bookmarkStart w:id="150"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0"/>
    <w:bookmarkStart w:id="151"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1"/>
    <w:bookmarkStart w:id="152"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2"/>
    <w:bookmarkStart w:id="153"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3"/>
    <w:bookmarkStart w:id="154"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4"/>
    <w:bookmarkStart w:id="155"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5"/>
    <w:bookmarkStart w:id="156"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6"/>
    <w:bookmarkStart w:id="157"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7"/>
    <w:bookmarkStart w:id="158"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8"/>
    <w:bookmarkStart w:id="159"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9"/>
    <w:bookmarkStart w:id="160"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0"/>
    <w:bookmarkStart w:id="161"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1"/>
    <w:bookmarkStart w:id="162"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2"/>
    <w:bookmarkStart w:id="163"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3"/>
    <w:bookmarkStart w:id="164"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4"/>
    <w:bookmarkStart w:id="165"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5"/>
    <w:bookmarkStart w:id="166"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6"/>
    <w:bookmarkStart w:id="167"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7"/>
    <w:bookmarkStart w:id="168"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8"/>
    <w:bookmarkStart w:id="169"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9"/>
    <w:bookmarkStart w:id="170"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0"/>
    <w:bookmarkStart w:id="171"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1"/>
    <w:bookmarkStart w:id="172"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2"/>
    <w:bookmarkStart w:id="173"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3"/>
    <w:bookmarkStart w:id="174"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4"/>
    <w:bookmarkStart w:id="175"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5"/>
    <w:bookmarkStart w:id="176"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6"/>
    <w:bookmarkStart w:id="177" w:name="ref-parkerStructuralPhenologyLeaf"/>
    <w:p>
      <w:pPr>
        <w:pStyle w:val="Bibliography"/>
      </w:pPr>
      <w:r>
        <w:rPr>
          <w:b w:val="0"/>
          <w:b/>
        </w:rPr>
        <w:t xml:space="preserve">Parker GG</w:t>
      </w:r>
      <w:r>
        <w:rPr>
          <w:b/>
        </w:rPr>
        <w:t xml:space="preserve">,</w:t>
      </w:r>
      <w:r>
        <w:rPr>
          <w:b/>
        </w:rPr>
        <w:t xml:space="preserve"> </w:t>
      </w:r>
      <w:r>
        <w:rPr>
          <w:b w:val="0"/>
          <w:b/>
        </w:rPr>
        <w:t xml:space="preserve">Tibbs DJ</w:t>
      </w:r>
      <w:r>
        <w:t xml:space="preserve">. Structural Phenology of the Leaf Community in the Canopy of a Liriodendron tulipifera L. Forest in Maryland, USA.: 11.</w:t>
      </w:r>
    </w:p>
    <w:bookmarkEnd w:id="177"/>
    <w:bookmarkStart w:id="178"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8"/>
    <w:bookmarkStart w:id="179"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9"/>
    <w:bookmarkStart w:id="180"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0"/>
    <w:bookmarkStart w:id="181"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1"/>
    <w:bookmarkStart w:id="182"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2"/>
    <w:bookmarkStart w:id="183"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3"/>
    <w:bookmarkStart w:id="184"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4"/>
    <w:bookmarkStart w:id="185"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5"/>
    <w:bookmarkStart w:id="186"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6"/>
    <w:bookmarkStart w:id="187"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7"/>
    <w:bookmarkStart w:id="188"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8"/>
    <w:bookmarkStart w:id="189"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9"/>
    <w:bookmarkStart w:id="190"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0"/>
    <w:bookmarkStart w:id="191"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1"/>
    <w:bookmarkStart w:id="192"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2"/>
    <w:bookmarkStart w:id="193"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3"/>
    <w:bookmarkStart w:id="194"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4"/>
    <w:bookmarkStart w:id="195"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95"/>
    <w:bookmarkStart w:id="196"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96"/>
    <w:bookmarkStart w:id="197"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7"/>
    <w:bookmarkStart w:id="198"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8"/>
    <w:bookmarkStart w:id="199"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9"/>
    <w:bookmarkStart w:id="200"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0"/>
    <w:bookmarkStart w:id="201"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1"/>
    <w:bookmarkStart w:id="202"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2"/>
    <w:bookmarkStart w:id="203"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3"/>
    <w:bookmarkStart w:id="204"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4"/>
    <w:bookmarkStart w:id="205"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05"/>
    <w:bookmarkStart w:id="206"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06"/>
    <w:bookmarkStart w:id="207" w:name="ref-stovallTreeHeightExplains2019b"/>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 Commun</w:t>
      </w:r>
      <w:r>
        <w:t xml:space="preserve"> </w:t>
      </w:r>
      <w:r>
        <w:rPr>
          <w:b/>
        </w:rPr>
        <w:t xml:space="preserve">10</w:t>
      </w:r>
      <w:r>
        <w:t xml:space="preserve">: 4385.</w:t>
      </w:r>
    </w:p>
    <w:bookmarkEnd w:id="207"/>
    <w:bookmarkStart w:id="208"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8"/>
    <w:bookmarkStart w:id="209"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9"/>
    <w:bookmarkStart w:id="210"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0"/>
    <w:bookmarkStart w:id="211"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1"/>
    <w:bookmarkStart w:id="212"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2"/>
    <w:bookmarkStart w:id="213"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3"/>
    <w:bookmarkStart w:id="214"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14"/>
    <w:bookmarkStart w:id="215"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15"/>
    <w:bookmarkStart w:id="216"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16"/>
    <w:bookmarkStart w:id="217"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7"/>
    <w:bookmarkStart w:id="218"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18"/>
    <w:bookmarkStart w:id="219"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19"/>
    <w:bookmarkStart w:id="220" w:name="ref-vlamTemperatureRainfallStrongly2014"/>
    <w:p>
      <w:pPr>
        <w:pStyle w:val="Bibliography"/>
      </w:pPr>
      <w:r>
        <w:rPr>
          <w:b w:val="0"/>
          <w:b/>
        </w:rPr>
        <w:t xml:space="preserve">Vlam M</w:t>
      </w:r>
      <w:r>
        <w:rPr>
          <w:b/>
        </w:rPr>
        <w:t xml:space="preserve">,</w:t>
      </w:r>
      <w:r>
        <w:rPr>
          <w:b/>
        </w:rPr>
        <w:t xml:space="preserve"> </w:t>
      </w:r>
      <w:r>
        <w:rPr>
          <w:b w:val="0"/>
          <w:b/>
        </w:rPr>
        <w:t xml:space="preserve">Baker PJ</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Zuidema PA</w:t>
      </w:r>
      <w:r>
        <w:t xml:space="preserve">.</w:t>
      </w:r>
      <w:r>
        <w:t xml:space="preserve"> </w:t>
      </w:r>
      <w:r>
        <w:rPr>
          <w:b/>
        </w:rPr>
        <w:t xml:space="preserve">2014</w:t>
      </w:r>
      <w:r>
        <w:t xml:space="preserve">. Temperature and rainfall strongly drive temporal growth variation in Asian tropical forest trees.</w:t>
      </w:r>
      <w:r>
        <w:t xml:space="preserve"> </w:t>
      </w:r>
      <w:r>
        <w:rPr>
          <w:i/>
        </w:rPr>
        <w:t xml:space="preserve">Oecologia</w:t>
      </w:r>
      <w:r>
        <w:t xml:space="preserve"> </w:t>
      </w:r>
      <w:r>
        <w:rPr>
          <w:b/>
        </w:rPr>
        <w:t xml:space="preserve">174</w:t>
      </w:r>
      <w:r>
        <w:t xml:space="preserve">: 1449–1461.</w:t>
      </w:r>
    </w:p>
    <w:bookmarkEnd w:id="220"/>
    <w:bookmarkStart w:id="221"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21"/>
    <w:bookmarkStart w:id="222"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2"/>
    <w:bookmarkStart w:id="223"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3"/>
    <w:bookmarkStart w:id="224"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4"/>
    <w:bookmarkStart w:id="225"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25"/>
    <w:bookmarkStart w:id="226"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26"/>
    <w:bookmarkStart w:id="227"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27"/>
    <w:bookmarkStart w:id="228"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28"/>
    <w:bookmarkStart w:id="229"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29"/>
    <w:bookmarkStart w:id="230"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0"/>
    <w:bookmarkStart w:id="231"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1"/>
    <w:bookmarkStart w:id="232"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32"/>
    <w:bookmarkStart w:id="233"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33"/>
    <w:bookmarkStart w:id="234"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34"/>
    <w:bookmarkStart w:id="235"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35"/>
    <w:bookmarkStart w:id="236"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36"/>
    <w:bookmarkEnd w:id="237"/>
    <w:bookmarkEnd w:id="238"/>
    <w:bookmarkEnd w:id="2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2021-07-26T12:07:10Z</dcterms:created>
  <dcterms:modified xsi:type="dcterms:W3CDTF">2021-07-26T12:07:10Z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